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455E7" w14:textId="6721F838" w:rsidR="00907938" w:rsidRDefault="00907938" w:rsidP="00A12904">
      <w:pPr>
        <w:spacing w:after="0"/>
        <w:rPr>
          <w:b/>
          <w:bCs/>
          <w:u w:val="single"/>
        </w:rPr>
      </w:pPr>
      <w:r>
        <w:rPr>
          <w:b/>
          <w:bCs/>
          <w:u w:val="single"/>
        </w:rPr>
        <w:t>Governors Annual Statement and Impact Report</w:t>
      </w:r>
    </w:p>
    <w:p w14:paraId="73FBCA8D" w14:textId="77777777" w:rsidR="00A12904" w:rsidRDefault="00A12904" w:rsidP="00A12904">
      <w:pPr>
        <w:spacing w:after="0"/>
      </w:pPr>
    </w:p>
    <w:p w14:paraId="7C41E6D0" w14:textId="60749818" w:rsidR="00907938" w:rsidRDefault="00907938" w:rsidP="00A12904">
      <w:pPr>
        <w:spacing w:after="0"/>
      </w:pPr>
      <w:r>
        <w:t>The purpose of the governing body is to ensure that our school is well led and managed, promoting excellent standards of educational progress and attainment for all our children.</w:t>
      </w:r>
    </w:p>
    <w:p w14:paraId="5C861967" w14:textId="77777777" w:rsidR="00A12904" w:rsidRDefault="00A12904" w:rsidP="00A12904">
      <w:pPr>
        <w:spacing w:after="0"/>
      </w:pPr>
    </w:p>
    <w:p w14:paraId="4668D10A" w14:textId="10A9C8B9" w:rsidR="00907938" w:rsidRDefault="00907938" w:rsidP="00A12904">
      <w:pPr>
        <w:spacing w:after="0"/>
      </w:pPr>
      <w:r>
        <w:t>To ensure this purpose is successfully achieved, the governors must evaluate the contribution of the Governing Body to the school. The Governing Body undertakes an annual review of governance, and as part of that process, publishes this statement each year.</w:t>
      </w:r>
    </w:p>
    <w:p w14:paraId="75450C63" w14:textId="77777777" w:rsidR="00A12904" w:rsidRDefault="00A12904" w:rsidP="00A12904">
      <w:pPr>
        <w:spacing w:after="0"/>
      </w:pPr>
    </w:p>
    <w:p w14:paraId="172799E2" w14:textId="1F89671A" w:rsidR="00DB5CB9" w:rsidRDefault="00DB5CB9" w:rsidP="00A12904">
      <w:pPr>
        <w:spacing w:after="0"/>
      </w:pPr>
      <w:r>
        <w:t>In the 202</w:t>
      </w:r>
      <w:r w:rsidR="00653857">
        <w:t>3</w:t>
      </w:r>
      <w:r>
        <w:t>/202</w:t>
      </w:r>
      <w:r w:rsidR="00653857">
        <w:t>4</w:t>
      </w:r>
      <w:r>
        <w:t xml:space="preserve"> academic year, the Governing Body has fulfilled its three core functions:</w:t>
      </w:r>
    </w:p>
    <w:p w14:paraId="7710A849" w14:textId="14787C2B" w:rsidR="00DB5CB9" w:rsidRDefault="00DB5CB9" w:rsidP="00A12904">
      <w:pPr>
        <w:pStyle w:val="ListParagraph"/>
        <w:numPr>
          <w:ilvl w:val="0"/>
          <w:numId w:val="1"/>
        </w:numPr>
        <w:spacing w:after="0"/>
      </w:pPr>
      <w:r>
        <w:t xml:space="preserve">Setting the strategic direction of the </w:t>
      </w:r>
      <w:proofErr w:type="gramStart"/>
      <w:r>
        <w:t>school</w:t>
      </w:r>
      <w:r w:rsidR="00653857">
        <w:t>;</w:t>
      </w:r>
      <w:proofErr w:type="gramEnd"/>
    </w:p>
    <w:p w14:paraId="5514FEDD" w14:textId="6D402A0D" w:rsidR="00DB5CB9" w:rsidRDefault="00DB5CB9" w:rsidP="00A12904">
      <w:pPr>
        <w:pStyle w:val="ListParagraph"/>
        <w:numPr>
          <w:ilvl w:val="0"/>
          <w:numId w:val="1"/>
        </w:numPr>
        <w:spacing w:after="0"/>
      </w:pPr>
      <w:r>
        <w:t xml:space="preserve">Holding the Head Teacher to account; acting as a critical </w:t>
      </w:r>
      <w:proofErr w:type="gramStart"/>
      <w:r>
        <w:t>friend</w:t>
      </w:r>
      <w:r w:rsidR="00653857">
        <w:t>;</w:t>
      </w:r>
      <w:proofErr w:type="gramEnd"/>
    </w:p>
    <w:p w14:paraId="2182585A" w14:textId="519A29E9" w:rsidR="00DB5CB9" w:rsidRDefault="00DB5CB9" w:rsidP="00A12904">
      <w:pPr>
        <w:pStyle w:val="ListParagraph"/>
        <w:numPr>
          <w:ilvl w:val="0"/>
          <w:numId w:val="1"/>
        </w:numPr>
        <w:spacing w:after="0"/>
      </w:pPr>
      <w:r>
        <w:t>Ensuring financial health, probity and value for money</w:t>
      </w:r>
      <w:r w:rsidR="00653857">
        <w:t>.</w:t>
      </w:r>
    </w:p>
    <w:p w14:paraId="2E7CA98A" w14:textId="77777777" w:rsidR="00A12904" w:rsidRDefault="00A12904" w:rsidP="00A12904">
      <w:pPr>
        <w:spacing w:after="0"/>
        <w:rPr>
          <w:b/>
          <w:bCs/>
          <w:u w:val="single"/>
        </w:rPr>
      </w:pPr>
    </w:p>
    <w:p w14:paraId="5101EB3E" w14:textId="1D966A67" w:rsidR="00907938" w:rsidRPr="00907938" w:rsidRDefault="00907938" w:rsidP="00A12904">
      <w:pPr>
        <w:spacing w:after="0"/>
        <w:rPr>
          <w:b/>
          <w:bCs/>
          <w:u w:val="single"/>
        </w:rPr>
      </w:pPr>
      <w:r>
        <w:rPr>
          <w:b/>
          <w:bCs/>
          <w:u w:val="single"/>
        </w:rPr>
        <w:t>School Improvement Plan (SIP)</w:t>
      </w:r>
    </w:p>
    <w:p w14:paraId="1057BAE6" w14:textId="77777777" w:rsidR="00A12904" w:rsidRDefault="00A12904" w:rsidP="00A12904">
      <w:pPr>
        <w:spacing w:after="0"/>
      </w:pPr>
    </w:p>
    <w:p w14:paraId="2927F07E" w14:textId="7AEDD3AD" w:rsidR="00907938" w:rsidRDefault="00907938" w:rsidP="00A12904">
      <w:pPr>
        <w:spacing w:after="0"/>
      </w:pPr>
      <w:r>
        <w:t>Governors work co-operatively with</w:t>
      </w:r>
      <w:r w:rsidR="00996756">
        <w:t xml:space="preserve"> the</w:t>
      </w:r>
      <w:r>
        <w:t xml:space="preserve"> Head Teacher and the Senior Leadership Team to</w:t>
      </w:r>
      <w:r w:rsidR="00653857">
        <w:t xml:space="preserve"> develop</w:t>
      </w:r>
      <w:r>
        <w:t xml:space="preserve"> approve the SIP and monitor progress in the areas identified for improvement</w:t>
      </w:r>
      <w:r w:rsidR="00653857">
        <w:t>, this leads to a continuous improvement in the quality of education for our children.</w:t>
      </w:r>
    </w:p>
    <w:p w14:paraId="6082A95D" w14:textId="468BC12E" w:rsidR="00907938" w:rsidRDefault="00907938" w:rsidP="00A12904">
      <w:pPr>
        <w:spacing w:after="0"/>
      </w:pPr>
      <w:r>
        <w:t xml:space="preserve">The SIP sets </w:t>
      </w:r>
      <w:proofErr w:type="gramStart"/>
      <w:r>
        <w:t>aims</w:t>
      </w:r>
      <w:proofErr w:type="gramEnd"/>
      <w:r>
        <w:t xml:space="preserve"> for the </w:t>
      </w:r>
      <w:r w:rsidR="00426DC3">
        <w:t xml:space="preserve">next </w:t>
      </w:r>
      <w:r w:rsidR="00653857">
        <w:t xml:space="preserve">academic </w:t>
      </w:r>
      <w:r w:rsidR="00426DC3">
        <w:t>year</w:t>
      </w:r>
      <w:r>
        <w:t xml:space="preserve">, and is based on key priorities identified from a variety of sources, including, our </w:t>
      </w:r>
      <w:proofErr w:type="spellStart"/>
      <w:r>
        <w:t>OfSTED</w:t>
      </w:r>
      <w:proofErr w:type="spellEnd"/>
      <w:r w:rsidR="00653857">
        <w:t xml:space="preserve"> and SIAMS</w:t>
      </w:r>
      <w:r>
        <w:t xml:space="preserve"> report</w:t>
      </w:r>
      <w:r w:rsidR="00653857">
        <w:t>s</w:t>
      </w:r>
      <w:r>
        <w:t xml:space="preserve">, data, </w:t>
      </w:r>
      <w:r w:rsidR="00605D3C">
        <w:t>and</w:t>
      </w:r>
      <w:r w:rsidR="00653857">
        <w:t xml:space="preserve"> our</w:t>
      </w:r>
      <w:r w:rsidR="00605D3C">
        <w:t xml:space="preserve"> </w:t>
      </w:r>
      <w:r>
        <w:t xml:space="preserve">school </w:t>
      </w:r>
      <w:proofErr w:type="spellStart"/>
      <w:r>
        <w:t>self evaluation</w:t>
      </w:r>
      <w:proofErr w:type="spellEnd"/>
      <w:r>
        <w:t>. The SIP sets out clear aims, the key tasks which will need to be completed to achieve these aims and the success criteria against which outcomes can be measured.</w:t>
      </w:r>
    </w:p>
    <w:p w14:paraId="13129AE5" w14:textId="77777777" w:rsidR="00A12904" w:rsidRDefault="00A12904" w:rsidP="00A12904">
      <w:pPr>
        <w:spacing w:after="0"/>
      </w:pPr>
    </w:p>
    <w:p w14:paraId="43721D9C" w14:textId="74F917CA" w:rsidR="00907938" w:rsidRDefault="00907938" w:rsidP="00A12904">
      <w:pPr>
        <w:spacing w:after="0"/>
      </w:pPr>
      <w:r>
        <w:t>The SIP is monitored and reviewed termly at Governing Body meetings, with an evaluation of progress against key tasks being discussed.</w:t>
      </w:r>
    </w:p>
    <w:p w14:paraId="1108D0D5" w14:textId="77777777" w:rsidR="00A12904" w:rsidRDefault="00A12904" w:rsidP="00A12904">
      <w:pPr>
        <w:spacing w:after="0"/>
        <w:rPr>
          <w:b/>
          <w:bCs/>
          <w:u w:val="single"/>
        </w:rPr>
      </w:pPr>
    </w:p>
    <w:p w14:paraId="586C0B22" w14:textId="4BCCF611" w:rsidR="00907938" w:rsidRDefault="008A49B4" w:rsidP="00A12904">
      <w:pPr>
        <w:spacing w:after="0"/>
        <w:rPr>
          <w:b/>
          <w:bCs/>
          <w:u w:val="single"/>
        </w:rPr>
      </w:pPr>
      <w:r>
        <w:rPr>
          <w:b/>
          <w:bCs/>
          <w:u w:val="single"/>
        </w:rPr>
        <w:t>Governor Visits</w:t>
      </w:r>
    </w:p>
    <w:p w14:paraId="2A722352" w14:textId="77777777" w:rsidR="00A12904" w:rsidRDefault="00A12904" w:rsidP="00A12904">
      <w:pPr>
        <w:spacing w:after="0"/>
      </w:pPr>
    </w:p>
    <w:p w14:paraId="1F545432" w14:textId="1A402903" w:rsidR="00426DC3" w:rsidRDefault="008A49B4" w:rsidP="00A12904">
      <w:pPr>
        <w:spacing w:after="0"/>
      </w:pPr>
      <w:r>
        <w:t>The Governors visit the school as part of their monitoring of the SIP and of other specific areas identified for monitoring. These visits are a valuable opportunity for Governors to work with members of school staff</w:t>
      </w:r>
      <w:r w:rsidR="00547861">
        <w:t xml:space="preserve"> to see the impact of the actions that have been taken</w:t>
      </w:r>
      <w:r>
        <w:t>. Monitoring has been a focus for improvement during the 202</w:t>
      </w:r>
      <w:r w:rsidR="00D56FDE">
        <w:t>3</w:t>
      </w:r>
      <w:r>
        <w:t>/202</w:t>
      </w:r>
      <w:r w:rsidR="00D56FDE">
        <w:t>4</w:t>
      </w:r>
      <w:r>
        <w:t xml:space="preserve"> academic year, with the appointment of a new link governor for monitoring and a comprehensive review of the monitoring process and format to ensure that it is completed in a clear, consistent and timely manner, and that no areas are missed. </w:t>
      </w:r>
      <w:r w:rsidR="00426DC3">
        <w:t xml:space="preserve">Governor monitoring is now more structured and consistent in all </w:t>
      </w:r>
      <w:proofErr w:type="gramStart"/>
      <w:r w:rsidR="00426DC3">
        <w:t>areas, and</w:t>
      </w:r>
      <w:proofErr w:type="gramEnd"/>
      <w:r w:rsidR="00426DC3">
        <w:t xml:space="preserve"> allows governors to build relationships of trust with staff, which have facilitated further changes in school</w:t>
      </w:r>
      <w:r w:rsidR="006C10C8">
        <w:t>, impacting upon the quality of education for our children.</w:t>
      </w:r>
    </w:p>
    <w:p w14:paraId="53E1AAAD" w14:textId="77777777" w:rsidR="000C6132" w:rsidRDefault="000C6132" w:rsidP="00A12904">
      <w:pPr>
        <w:spacing w:after="0"/>
      </w:pPr>
    </w:p>
    <w:p w14:paraId="072FF38C" w14:textId="06F72F63" w:rsidR="00FE30C4" w:rsidRDefault="00FE30C4" w:rsidP="00A12904">
      <w:pPr>
        <w:spacing w:after="0"/>
      </w:pPr>
      <w:r>
        <w:t>This will continue to be a focus for the 2024/2025 academic year as we embed the improvements we have made.</w:t>
      </w:r>
    </w:p>
    <w:p w14:paraId="080965D4" w14:textId="77777777" w:rsidR="000C6132" w:rsidRDefault="000C6132" w:rsidP="00A12904">
      <w:pPr>
        <w:spacing w:after="0"/>
      </w:pPr>
    </w:p>
    <w:p w14:paraId="71E5D16C" w14:textId="135D9427" w:rsidR="008A49B4" w:rsidRDefault="008A49B4" w:rsidP="00A12904">
      <w:pPr>
        <w:spacing w:after="0"/>
      </w:pPr>
      <w:r>
        <w:t>Link governor monitoring roles are reviewed annually.</w:t>
      </w:r>
    </w:p>
    <w:p w14:paraId="2B765610" w14:textId="77777777" w:rsidR="000C6132" w:rsidRDefault="000C6132" w:rsidP="00A12904">
      <w:pPr>
        <w:spacing w:after="0"/>
      </w:pPr>
    </w:p>
    <w:p w14:paraId="5C0585AE" w14:textId="6B941855" w:rsidR="008A49B4" w:rsidRDefault="008A49B4" w:rsidP="00A12904">
      <w:pPr>
        <w:spacing w:after="0"/>
      </w:pPr>
      <w:r>
        <w:t>A Governor Visits Policy is in place, and all new Governors are given the opportunity to accompany an experienced Governor before undertaking visits on their own.</w:t>
      </w:r>
    </w:p>
    <w:p w14:paraId="5AF2EF49" w14:textId="5009ACE6" w:rsidR="0065174D" w:rsidRDefault="0065174D" w:rsidP="00A12904">
      <w:pPr>
        <w:spacing w:after="0"/>
      </w:pPr>
      <w:r>
        <w:lastRenderedPageBreak/>
        <w:t xml:space="preserve">Governors also undertake other, less formal visits, including attending </w:t>
      </w:r>
      <w:proofErr w:type="gramStart"/>
      <w:r>
        <w:t>parents</w:t>
      </w:r>
      <w:proofErr w:type="gramEnd"/>
      <w:r>
        <w:t xml:space="preserve"> evenings, collective worship, fundraisers, etc… </w:t>
      </w:r>
      <w:proofErr w:type="gramStart"/>
      <w:r w:rsidR="00ED0542">
        <w:t>Again</w:t>
      </w:r>
      <w:proofErr w:type="gramEnd"/>
      <w:r w:rsidR="00ED0542">
        <w:t xml:space="preserve"> this would benefit from further focus in 2024/2025, with a rota of events that governors will attend.</w:t>
      </w:r>
    </w:p>
    <w:p w14:paraId="1842BBC5" w14:textId="77777777" w:rsidR="00ED0542" w:rsidRDefault="00ED0542" w:rsidP="00A12904">
      <w:pPr>
        <w:spacing w:after="0"/>
      </w:pPr>
    </w:p>
    <w:p w14:paraId="4C821150" w14:textId="77777777" w:rsidR="00B77C78" w:rsidRDefault="00B77C78" w:rsidP="00A12904">
      <w:pPr>
        <w:spacing w:after="0"/>
        <w:rPr>
          <w:b/>
          <w:bCs/>
          <w:u w:val="single"/>
        </w:rPr>
      </w:pPr>
      <w:r>
        <w:rPr>
          <w:b/>
          <w:bCs/>
          <w:u w:val="single"/>
        </w:rPr>
        <w:t>Data Analysis</w:t>
      </w:r>
    </w:p>
    <w:p w14:paraId="58159C7F" w14:textId="77777777" w:rsidR="000C6132" w:rsidRDefault="000C6132" w:rsidP="00A12904">
      <w:pPr>
        <w:spacing w:after="0"/>
      </w:pPr>
    </w:p>
    <w:p w14:paraId="34DF179C" w14:textId="75D06DEA" w:rsidR="00B77C78" w:rsidRDefault="00B77C78" w:rsidP="00A12904">
      <w:pPr>
        <w:spacing w:after="0"/>
      </w:pPr>
      <w:r>
        <w:t xml:space="preserve">Data is made available to Governors in termly Governing Body meetings, with written and verbal presentation of the data, followed by questions and answers. This data is presented by </w:t>
      </w:r>
      <w:proofErr w:type="gramStart"/>
      <w:r>
        <w:t>the  Assistant</w:t>
      </w:r>
      <w:proofErr w:type="gramEnd"/>
      <w:r>
        <w:t xml:space="preserve"> Head Teacher, or another member of school staff as appropriate.</w:t>
      </w:r>
    </w:p>
    <w:p w14:paraId="35755D48" w14:textId="77777777" w:rsidR="000C6132" w:rsidRDefault="000C6132" w:rsidP="00A12904">
      <w:pPr>
        <w:spacing w:after="0"/>
      </w:pPr>
    </w:p>
    <w:p w14:paraId="6D998493" w14:textId="5021A2F4" w:rsidR="00B77C78" w:rsidRDefault="00B77C78" w:rsidP="00A12904">
      <w:pPr>
        <w:spacing w:after="0"/>
      </w:pPr>
      <w:r>
        <w:t>The analysis of data allows Governors to benchmark data against other schools, both locally and nationally to ensure our standards and expectations are high.</w:t>
      </w:r>
    </w:p>
    <w:p w14:paraId="164CDF71" w14:textId="77777777" w:rsidR="00616B37" w:rsidRDefault="00616B37" w:rsidP="00A12904">
      <w:pPr>
        <w:spacing w:after="0"/>
      </w:pPr>
    </w:p>
    <w:p w14:paraId="357FF17E" w14:textId="54C7355C" w:rsidR="00B77C78" w:rsidRDefault="00B77C78" w:rsidP="00A12904">
      <w:pPr>
        <w:spacing w:after="0"/>
      </w:pPr>
      <w:r>
        <w:t xml:space="preserve">When analysing data, the Governing Body examines pupil progress and attainment across all ability groups, </w:t>
      </w:r>
      <w:r w:rsidR="00616B37">
        <w:t xml:space="preserve">and other defined groups within our pupil population, </w:t>
      </w:r>
      <w:proofErr w:type="gramStart"/>
      <w:r w:rsidR="00616B37">
        <w:t>including:</w:t>
      </w:r>
      <w:proofErr w:type="gramEnd"/>
      <w:r w:rsidR="00616B37">
        <w:t xml:space="preserve"> children with </w:t>
      </w:r>
      <w:r>
        <w:t>English as an additional language (EAL), pupil premium children and children with SEND. In 202</w:t>
      </w:r>
      <w:r w:rsidR="00A6196A">
        <w:t>3</w:t>
      </w:r>
      <w:r>
        <w:t>/202</w:t>
      </w:r>
      <w:r w:rsidR="00A6196A">
        <w:t>4</w:t>
      </w:r>
      <w:r>
        <w:t xml:space="preserve"> specific attention has been focused </w:t>
      </w:r>
      <w:r w:rsidR="00690A7B">
        <w:t>ensuring every child, including those considered ‘disadvantaged’, makes good or better progress across the curriculum and barriers to learning are identified and addressed.</w:t>
      </w:r>
    </w:p>
    <w:p w14:paraId="3E810FD5" w14:textId="77777777" w:rsidR="00690A7B" w:rsidRDefault="00690A7B" w:rsidP="00A12904">
      <w:pPr>
        <w:spacing w:after="0"/>
      </w:pPr>
    </w:p>
    <w:p w14:paraId="08602C71" w14:textId="77777777" w:rsidR="00B77C78" w:rsidRDefault="00B77C78" w:rsidP="00A12904">
      <w:pPr>
        <w:spacing w:after="0"/>
      </w:pPr>
      <w:r>
        <w:t>The scrutiny of data also allows the Governing Body to assess the impact of the key priorities and tasks identified in the SIP.</w:t>
      </w:r>
    </w:p>
    <w:p w14:paraId="1F4EDDCB" w14:textId="77777777" w:rsidR="001761F0" w:rsidRDefault="001761F0" w:rsidP="00A12904">
      <w:pPr>
        <w:spacing w:after="0"/>
      </w:pPr>
    </w:p>
    <w:p w14:paraId="6C95B155" w14:textId="1A6AF4C4" w:rsidR="00B77C78" w:rsidRDefault="001761F0" w:rsidP="00A12904">
      <w:pPr>
        <w:spacing w:after="0"/>
      </w:pPr>
      <w:r>
        <w:t xml:space="preserve">For a number of </w:t>
      </w:r>
      <w:proofErr w:type="gramStart"/>
      <w:r>
        <w:t>years</w:t>
      </w:r>
      <w:proofErr w:type="gramEnd"/>
      <w:r>
        <w:t xml:space="preserve"> we have had a l</w:t>
      </w:r>
      <w:r w:rsidR="00B77C78">
        <w:t>ink governor for data has been appointed to ensure robust and detailed analysis of our school data.</w:t>
      </w:r>
    </w:p>
    <w:p w14:paraId="1B5CA712" w14:textId="77777777" w:rsidR="00B77C78" w:rsidRDefault="00B77C78" w:rsidP="00A12904">
      <w:pPr>
        <w:spacing w:after="0"/>
        <w:rPr>
          <w:b/>
          <w:bCs/>
          <w:u w:val="single"/>
        </w:rPr>
      </w:pPr>
    </w:p>
    <w:p w14:paraId="455BFEA5" w14:textId="77777777" w:rsidR="007A38CA" w:rsidRDefault="007A38CA" w:rsidP="007A38CA">
      <w:pPr>
        <w:spacing w:after="0"/>
        <w:rPr>
          <w:b/>
          <w:bCs/>
          <w:u w:val="single"/>
        </w:rPr>
      </w:pPr>
      <w:r>
        <w:rPr>
          <w:b/>
          <w:bCs/>
          <w:u w:val="single"/>
        </w:rPr>
        <w:t>Financial Management</w:t>
      </w:r>
    </w:p>
    <w:p w14:paraId="7544E551" w14:textId="77777777" w:rsidR="007A38CA" w:rsidRDefault="007A38CA" w:rsidP="007A38CA">
      <w:pPr>
        <w:spacing w:after="0"/>
      </w:pPr>
      <w:r>
        <w:t xml:space="preserve">The Governing Body have appointed a link governor for </w:t>
      </w:r>
      <w:proofErr w:type="gramStart"/>
      <w:r>
        <w:t>finance, and</w:t>
      </w:r>
      <w:proofErr w:type="gramEnd"/>
      <w:r>
        <w:t xml:space="preserve"> have a number of Governors with finance management skills.</w:t>
      </w:r>
    </w:p>
    <w:p w14:paraId="6F1E4B69" w14:textId="77777777" w:rsidR="007A38CA" w:rsidRDefault="007A38CA" w:rsidP="007A38CA">
      <w:pPr>
        <w:spacing w:after="0"/>
      </w:pPr>
    </w:p>
    <w:p w14:paraId="783FE610" w14:textId="1830016C" w:rsidR="007A38CA" w:rsidRDefault="007A38CA" w:rsidP="007A38CA">
      <w:pPr>
        <w:spacing w:after="0"/>
      </w:pPr>
      <w:r>
        <w:t xml:space="preserve">The Governing Body works with the School Business Manager (SBM) and </w:t>
      </w:r>
      <w:r w:rsidR="00C47116">
        <w:t xml:space="preserve">the </w:t>
      </w:r>
      <w:r>
        <w:t>Head Teacher to submit an annual School Financial Value Statement, which is approved by the Full Governing Body.</w:t>
      </w:r>
    </w:p>
    <w:p w14:paraId="4669FBCF" w14:textId="77777777" w:rsidR="007A38CA" w:rsidRDefault="007A38CA" w:rsidP="007A38CA">
      <w:pPr>
        <w:spacing w:after="0"/>
      </w:pPr>
    </w:p>
    <w:p w14:paraId="6AEE01BF" w14:textId="77777777" w:rsidR="007A38CA" w:rsidRDefault="007A38CA" w:rsidP="007A38CA">
      <w:pPr>
        <w:spacing w:after="0"/>
      </w:pPr>
      <w:r>
        <w:t>The Governing Body ensure that the school budget is managed effectively, and that improvements are effective and continuous.</w:t>
      </w:r>
    </w:p>
    <w:p w14:paraId="47C5FC84" w14:textId="77777777" w:rsidR="007A38CA" w:rsidRDefault="007A38CA" w:rsidP="007A38CA">
      <w:pPr>
        <w:spacing w:after="0"/>
      </w:pPr>
    </w:p>
    <w:p w14:paraId="11751ECF" w14:textId="77777777" w:rsidR="007A38CA" w:rsidRDefault="007A38CA" w:rsidP="007A38CA">
      <w:pPr>
        <w:spacing w:after="0"/>
      </w:pPr>
      <w:r>
        <w:t>Examples of the governor impact on the financial management of the school include:</w:t>
      </w:r>
    </w:p>
    <w:p w14:paraId="552BB048" w14:textId="053E746A" w:rsidR="007A38CA" w:rsidRDefault="007A38CA" w:rsidP="007A38CA">
      <w:pPr>
        <w:pStyle w:val="ListParagraph"/>
        <w:numPr>
          <w:ilvl w:val="0"/>
          <w:numId w:val="12"/>
        </w:numPr>
        <w:spacing w:after="0"/>
      </w:pPr>
      <w:r>
        <w:t xml:space="preserve">Working with the SBM and </w:t>
      </w:r>
      <w:r w:rsidR="0016465A">
        <w:t xml:space="preserve">the </w:t>
      </w:r>
      <w:r>
        <w:t xml:space="preserve">Head Teacher to establish a priority list for capital projects, and involvement in these projects at the invitation of school </w:t>
      </w:r>
      <w:proofErr w:type="gramStart"/>
      <w:r>
        <w:t>staff;</w:t>
      </w:r>
      <w:proofErr w:type="gramEnd"/>
    </w:p>
    <w:p w14:paraId="0816A622" w14:textId="77777777" w:rsidR="007A38CA" w:rsidRPr="00D063A2" w:rsidRDefault="007A38CA" w:rsidP="007A38CA">
      <w:pPr>
        <w:pStyle w:val="ListParagraph"/>
        <w:numPr>
          <w:ilvl w:val="0"/>
          <w:numId w:val="12"/>
        </w:numPr>
        <w:spacing w:after="0"/>
        <w:rPr>
          <w:b/>
          <w:bCs/>
          <w:u w:val="single"/>
        </w:rPr>
      </w:pPr>
      <w:r>
        <w:t xml:space="preserve">Allocated funding to support school improvement </w:t>
      </w:r>
      <w:proofErr w:type="gramStart"/>
      <w:r>
        <w:t>priorities;</w:t>
      </w:r>
      <w:proofErr w:type="gramEnd"/>
    </w:p>
    <w:p w14:paraId="67F01002" w14:textId="77777777" w:rsidR="007A38CA" w:rsidRPr="00D063A2" w:rsidRDefault="007A38CA" w:rsidP="007A38CA">
      <w:pPr>
        <w:pStyle w:val="ListParagraph"/>
        <w:numPr>
          <w:ilvl w:val="0"/>
          <w:numId w:val="12"/>
        </w:numPr>
        <w:spacing w:after="0"/>
        <w:rPr>
          <w:b/>
          <w:bCs/>
          <w:u w:val="single"/>
        </w:rPr>
      </w:pPr>
      <w:r>
        <w:t>An ongoing review of resources to ensure the school is financially sustainable in the long-term.</w:t>
      </w:r>
    </w:p>
    <w:p w14:paraId="0BB18A45" w14:textId="77777777" w:rsidR="007A38CA" w:rsidRDefault="007A38CA" w:rsidP="00A12904">
      <w:pPr>
        <w:spacing w:after="0"/>
        <w:rPr>
          <w:b/>
          <w:bCs/>
          <w:u w:val="single"/>
        </w:rPr>
      </w:pPr>
    </w:p>
    <w:p w14:paraId="1E9A623E" w14:textId="77777777" w:rsidR="0096496C" w:rsidRDefault="0096496C" w:rsidP="0096496C">
      <w:pPr>
        <w:spacing w:after="0"/>
        <w:rPr>
          <w:b/>
          <w:bCs/>
          <w:u w:val="single"/>
        </w:rPr>
      </w:pPr>
      <w:r>
        <w:rPr>
          <w:b/>
          <w:bCs/>
          <w:u w:val="single"/>
        </w:rPr>
        <w:t>Policies</w:t>
      </w:r>
    </w:p>
    <w:p w14:paraId="23B7A2F1" w14:textId="77777777" w:rsidR="0096496C" w:rsidRDefault="0096496C" w:rsidP="0096496C">
      <w:pPr>
        <w:spacing w:after="0"/>
      </w:pPr>
    </w:p>
    <w:p w14:paraId="56F2B6CA" w14:textId="77777777" w:rsidR="0096496C" w:rsidRDefault="0096496C" w:rsidP="0096496C">
      <w:pPr>
        <w:spacing w:after="0"/>
      </w:pPr>
      <w:r>
        <w:t>The Governing Body review all relevant policies on a review cycle to ensure that school policies remain up to date.</w:t>
      </w:r>
    </w:p>
    <w:p w14:paraId="385B48E9" w14:textId="77777777" w:rsidR="0096496C" w:rsidRDefault="0096496C" w:rsidP="0096496C">
      <w:pPr>
        <w:spacing w:after="0"/>
      </w:pPr>
    </w:p>
    <w:p w14:paraId="2108F135" w14:textId="77777777" w:rsidR="0096496C" w:rsidRDefault="0096496C" w:rsidP="0096496C">
      <w:pPr>
        <w:spacing w:after="0"/>
      </w:pPr>
      <w:r>
        <w:lastRenderedPageBreak/>
        <w:t xml:space="preserve">Specific attention is given to statutory policies as defined by the Department of Education, </w:t>
      </w:r>
      <w:proofErr w:type="gramStart"/>
      <w:r>
        <w:t>and also</w:t>
      </w:r>
      <w:proofErr w:type="gramEnd"/>
      <w:r>
        <w:t xml:space="preserve"> those recommended by the Local Authority.</w:t>
      </w:r>
    </w:p>
    <w:p w14:paraId="0FA095AA" w14:textId="77777777" w:rsidR="0096496C" w:rsidRDefault="0096496C" w:rsidP="00A12904">
      <w:pPr>
        <w:spacing w:after="0"/>
        <w:rPr>
          <w:b/>
          <w:bCs/>
          <w:u w:val="single"/>
        </w:rPr>
      </w:pPr>
    </w:p>
    <w:p w14:paraId="3466BB73" w14:textId="77777777" w:rsidR="00323E8D" w:rsidRPr="0065174D" w:rsidRDefault="00323E8D" w:rsidP="00323E8D">
      <w:pPr>
        <w:spacing w:after="0"/>
        <w:rPr>
          <w:b/>
          <w:bCs/>
          <w:u w:val="single"/>
        </w:rPr>
      </w:pPr>
      <w:r>
        <w:rPr>
          <w:b/>
          <w:bCs/>
          <w:u w:val="single"/>
        </w:rPr>
        <w:t>Staff Recruitment</w:t>
      </w:r>
    </w:p>
    <w:p w14:paraId="6431F0FC" w14:textId="77777777" w:rsidR="00323E8D" w:rsidRDefault="00323E8D" w:rsidP="00323E8D">
      <w:pPr>
        <w:spacing w:after="0"/>
      </w:pPr>
    </w:p>
    <w:p w14:paraId="6AF6D4F4" w14:textId="77777777" w:rsidR="00323E8D" w:rsidRDefault="00323E8D" w:rsidP="00323E8D">
      <w:pPr>
        <w:spacing w:after="0"/>
      </w:pPr>
      <w:r>
        <w:t>The Head Teacher, and three governors are currently trained in ‘Safer Recruitment’.</w:t>
      </w:r>
    </w:p>
    <w:p w14:paraId="1A547394" w14:textId="77777777" w:rsidR="00323E8D" w:rsidRDefault="00323E8D" w:rsidP="00323E8D">
      <w:pPr>
        <w:spacing w:after="0"/>
      </w:pPr>
      <w:r>
        <w:t>Governors are involved in the recruitment and selection of all teaching staff and use a robust selection process (appropriate to the position being recruited for) to ensure that outstanding teaching staff who share our distinctive Christian ethos are appointed.</w:t>
      </w:r>
    </w:p>
    <w:p w14:paraId="05310354" w14:textId="77777777" w:rsidR="00323E8D" w:rsidRDefault="00323E8D" w:rsidP="00A12904">
      <w:pPr>
        <w:spacing w:after="0"/>
        <w:rPr>
          <w:b/>
          <w:bCs/>
          <w:u w:val="single"/>
        </w:rPr>
      </w:pPr>
    </w:p>
    <w:p w14:paraId="1418369E" w14:textId="3E66FA64" w:rsidR="00ED0542" w:rsidRDefault="00ED0542" w:rsidP="00A12904">
      <w:pPr>
        <w:spacing w:after="0"/>
        <w:rPr>
          <w:b/>
          <w:bCs/>
          <w:u w:val="single"/>
        </w:rPr>
      </w:pPr>
      <w:r>
        <w:rPr>
          <w:b/>
          <w:bCs/>
          <w:u w:val="single"/>
        </w:rPr>
        <w:t>Profile of the Governing Body</w:t>
      </w:r>
    </w:p>
    <w:p w14:paraId="78A07E39" w14:textId="77777777" w:rsidR="001761F0" w:rsidRPr="00ED0542" w:rsidRDefault="001761F0" w:rsidP="00A12904">
      <w:pPr>
        <w:spacing w:after="0"/>
        <w:rPr>
          <w:b/>
          <w:bCs/>
          <w:u w:val="single"/>
        </w:rPr>
      </w:pPr>
    </w:p>
    <w:p w14:paraId="6578A591" w14:textId="1F7F90CC" w:rsidR="00A12904" w:rsidRDefault="00605D3C" w:rsidP="00A12904">
      <w:pPr>
        <w:spacing w:after="0"/>
      </w:pPr>
      <w:r>
        <w:t>We are continuously working to raise the profile of the Governing Body and issue an ‘introduction to governors’ to parent</w:t>
      </w:r>
      <w:r w:rsidR="002256FA">
        <w:t>s</w:t>
      </w:r>
      <w:r>
        <w:t xml:space="preserve"> the start of each academic year.</w:t>
      </w:r>
      <w:r w:rsidR="00ED0542">
        <w:t xml:space="preserve"> In addition, the Chair of Governors attends the new parents meeting for reception starter each year. </w:t>
      </w:r>
    </w:p>
    <w:p w14:paraId="4B54E086" w14:textId="2E008846" w:rsidR="00ED0542" w:rsidRDefault="00ED0542" w:rsidP="00A12904">
      <w:pPr>
        <w:spacing w:after="0"/>
      </w:pPr>
      <w:r>
        <w:br/>
        <w:t xml:space="preserve">The Governing Body also runs a parent survey each year. This year the timing of the survey has been changed in order that the survey results can directly impact planning for the start of the new academic year. Additionally, parents can request </w:t>
      </w:r>
      <w:r w:rsidR="00B77C78">
        <w:t>a phone call with the Head Teacher or Chair of Governors as part of the survey.</w:t>
      </w:r>
    </w:p>
    <w:p w14:paraId="5A3A045F" w14:textId="77777777" w:rsidR="001761F0" w:rsidRDefault="001761F0" w:rsidP="00A12904">
      <w:pPr>
        <w:spacing w:after="0"/>
        <w:rPr>
          <w:b/>
          <w:bCs/>
          <w:u w:val="single"/>
        </w:rPr>
      </w:pPr>
    </w:p>
    <w:p w14:paraId="689C4CC9" w14:textId="4E8205BF" w:rsidR="0065174D" w:rsidRDefault="0065174D" w:rsidP="00A12904">
      <w:pPr>
        <w:spacing w:after="0"/>
        <w:rPr>
          <w:b/>
          <w:bCs/>
          <w:u w:val="single"/>
        </w:rPr>
      </w:pPr>
      <w:r>
        <w:rPr>
          <w:b/>
          <w:bCs/>
          <w:u w:val="single"/>
        </w:rPr>
        <w:t>Governor Meeting Attendance</w:t>
      </w:r>
    </w:p>
    <w:p w14:paraId="473794E4" w14:textId="77777777" w:rsidR="00323E8D" w:rsidRDefault="00323E8D" w:rsidP="00A12904">
      <w:pPr>
        <w:spacing w:after="0"/>
      </w:pPr>
    </w:p>
    <w:p w14:paraId="7C3BD004" w14:textId="34FC1ED5" w:rsidR="00676104" w:rsidRDefault="0065174D" w:rsidP="00A12904">
      <w:pPr>
        <w:spacing w:after="0"/>
      </w:pPr>
      <w:r>
        <w:t xml:space="preserve">There are usually 8 Governing Body meetings each academic year. </w:t>
      </w:r>
      <w:r w:rsidR="00676104">
        <w:t xml:space="preserve"> These are conducted in person and on MS Teams, depending on the agenda for each meeting. Broadly speaking 50% of Governing Body meetings are held in person and 50% </w:t>
      </w:r>
      <w:r w:rsidR="000D1531">
        <w:t>on MS Teams, however, the Head Teacher and Chair of Governors agree this prior to each meeting, depending on the specific agenda items for that meeting.</w:t>
      </w:r>
    </w:p>
    <w:p w14:paraId="72BC5018" w14:textId="77777777" w:rsidR="00EE3D22" w:rsidRDefault="00EE3D22" w:rsidP="00A12904">
      <w:pPr>
        <w:spacing w:after="0"/>
      </w:pPr>
    </w:p>
    <w:p w14:paraId="4220E476" w14:textId="3AF112E2" w:rsidR="0065174D" w:rsidRDefault="0065174D" w:rsidP="00A12904">
      <w:pPr>
        <w:spacing w:after="0"/>
      </w:pPr>
      <w:r>
        <w:t xml:space="preserve">Attendance at Governing Body meetings </w:t>
      </w:r>
      <w:r w:rsidR="00EE3D22">
        <w:t>remains</w:t>
      </w:r>
      <w:r>
        <w:t xml:space="preserve"> good, with apologies being given for any unavoidable absences.</w:t>
      </w:r>
    </w:p>
    <w:p w14:paraId="1774C84A" w14:textId="77777777" w:rsidR="00EE3D22" w:rsidRDefault="00EE3D22" w:rsidP="00A12904">
      <w:pPr>
        <w:spacing w:after="0"/>
      </w:pPr>
    </w:p>
    <w:p w14:paraId="46928743" w14:textId="50267D86" w:rsidR="0065174D" w:rsidRDefault="0065174D" w:rsidP="00A12904">
      <w:pPr>
        <w:spacing w:after="0"/>
      </w:pPr>
      <w:r>
        <w:t>All Governors are committed to making a valuable contribution to our school.</w:t>
      </w:r>
    </w:p>
    <w:p w14:paraId="56CBD14E" w14:textId="77777777" w:rsidR="00EE3D22" w:rsidRDefault="00EE3D22" w:rsidP="00A12904">
      <w:pPr>
        <w:spacing w:after="0"/>
        <w:rPr>
          <w:b/>
          <w:bCs/>
          <w:u w:val="single"/>
        </w:rPr>
      </w:pPr>
    </w:p>
    <w:p w14:paraId="4DDB5A52" w14:textId="76347DD2" w:rsidR="0065174D" w:rsidRDefault="00DB5CB9" w:rsidP="00A12904">
      <w:pPr>
        <w:spacing w:after="0"/>
        <w:rPr>
          <w:b/>
          <w:bCs/>
          <w:u w:val="single"/>
        </w:rPr>
      </w:pPr>
      <w:r>
        <w:rPr>
          <w:b/>
          <w:bCs/>
          <w:u w:val="single"/>
        </w:rPr>
        <w:t>Effectiveness of Governance</w:t>
      </w:r>
    </w:p>
    <w:p w14:paraId="28FE264B" w14:textId="77777777" w:rsidR="00EE3D22" w:rsidRDefault="00EE3D22" w:rsidP="00A12904">
      <w:pPr>
        <w:spacing w:after="0"/>
      </w:pPr>
    </w:p>
    <w:p w14:paraId="48DF7B87" w14:textId="64298C74" w:rsidR="00DB5CB9" w:rsidRDefault="00DB5CB9" w:rsidP="00A12904">
      <w:pPr>
        <w:spacing w:after="0"/>
      </w:pPr>
      <w:r>
        <w:t>The Governing Body conducts an annual review of governance, including the following:</w:t>
      </w:r>
    </w:p>
    <w:p w14:paraId="6CD1E250" w14:textId="01121914" w:rsidR="00DB5CB9" w:rsidRDefault="00DB5CB9" w:rsidP="00A12904">
      <w:pPr>
        <w:pStyle w:val="ListParagraph"/>
        <w:numPr>
          <w:ilvl w:val="0"/>
          <w:numId w:val="14"/>
        </w:numPr>
        <w:spacing w:after="0"/>
      </w:pPr>
      <w:r>
        <w:t xml:space="preserve">A </w:t>
      </w:r>
      <w:proofErr w:type="spellStart"/>
      <w:r>
        <w:t>self evaluation</w:t>
      </w:r>
      <w:proofErr w:type="spellEnd"/>
      <w:r>
        <w:t xml:space="preserve"> of governance</w:t>
      </w:r>
    </w:p>
    <w:p w14:paraId="7CC88FF5" w14:textId="2E58C558" w:rsidR="00DB5CB9" w:rsidRDefault="00DB5CB9" w:rsidP="00A12904">
      <w:pPr>
        <w:pStyle w:val="ListParagraph"/>
        <w:numPr>
          <w:ilvl w:val="0"/>
          <w:numId w:val="14"/>
        </w:numPr>
        <w:spacing w:after="0"/>
      </w:pPr>
      <w:r>
        <w:t>Review of the impact of governance</w:t>
      </w:r>
    </w:p>
    <w:p w14:paraId="1E9799D6" w14:textId="084925CA" w:rsidR="00DB5CB9" w:rsidRDefault="00DB5CB9" w:rsidP="00A12904">
      <w:pPr>
        <w:pStyle w:val="ListParagraph"/>
        <w:numPr>
          <w:ilvl w:val="0"/>
          <w:numId w:val="14"/>
        </w:numPr>
        <w:spacing w:after="0"/>
      </w:pPr>
      <w:r>
        <w:t xml:space="preserve">A review of the 20 questions governing bodies should ask themselves and questions from </w:t>
      </w:r>
      <w:proofErr w:type="spellStart"/>
      <w:r>
        <w:t>OfSTED</w:t>
      </w:r>
      <w:proofErr w:type="spellEnd"/>
      <w:r>
        <w:t xml:space="preserve"> for governing bodies</w:t>
      </w:r>
    </w:p>
    <w:p w14:paraId="2ED7B111" w14:textId="77777777" w:rsidR="00EE3D22" w:rsidRDefault="00EE3D22" w:rsidP="00A12904">
      <w:pPr>
        <w:spacing w:after="0"/>
      </w:pPr>
    </w:p>
    <w:p w14:paraId="07179109" w14:textId="390FD128" w:rsidR="00DB5CB9" w:rsidRDefault="00DB5CB9" w:rsidP="00A12904">
      <w:pPr>
        <w:spacing w:after="0"/>
      </w:pPr>
      <w:r>
        <w:t>An annual review of the Chair’s performance is also completed.</w:t>
      </w:r>
    </w:p>
    <w:p w14:paraId="4A4C8F18" w14:textId="77777777" w:rsidR="00EE3D22" w:rsidRDefault="00EE3D22" w:rsidP="00A12904">
      <w:pPr>
        <w:spacing w:after="0"/>
      </w:pPr>
    </w:p>
    <w:p w14:paraId="2E378DA3" w14:textId="526CA9BD" w:rsidR="00F57044" w:rsidRDefault="0065174D" w:rsidP="00A12904">
      <w:pPr>
        <w:spacing w:after="0"/>
      </w:pPr>
      <w:r>
        <w:lastRenderedPageBreak/>
        <w:t>The Governing Body</w:t>
      </w:r>
      <w:r w:rsidR="00AB4019">
        <w:t xml:space="preserve"> conducts regular skills audits and ha</w:t>
      </w:r>
      <w:r w:rsidR="00DB5CB9">
        <w:t>s</w:t>
      </w:r>
      <w:r>
        <w:t xml:space="preserve"> a development plan in place</w:t>
      </w:r>
      <w:r w:rsidR="008A2BA2">
        <w:t>.  A new training link governor was appointed in 2023/2024 after a significant gap in this role</w:t>
      </w:r>
      <w:r w:rsidR="00133F5C">
        <w:t xml:space="preserve">. We have made progress in this area, and it </w:t>
      </w:r>
      <w:r w:rsidR="000B3DE0">
        <w:t xml:space="preserve">will </w:t>
      </w:r>
      <w:r w:rsidR="00133F5C">
        <w:t>remain an</w:t>
      </w:r>
      <w:r w:rsidR="000B3DE0">
        <w:t xml:space="preserve"> area of focus in 2023/2024.</w:t>
      </w:r>
    </w:p>
    <w:p w14:paraId="1ADD1950" w14:textId="77777777" w:rsidR="003239BD" w:rsidRDefault="003239BD" w:rsidP="00A12904">
      <w:pPr>
        <w:spacing w:after="0"/>
      </w:pPr>
    </w:p>
    <w:p w14:paraId="161D6B07" w14:textId="6AD224DD" w:rsidR="00AB4019" w:rsidRDefault="00AB4019" w:rsidP="00A12904">
      <w:pPr>
        <w:spacing w:after="0"/>
      </w:pPr>
      <w:r>
        <w:t>Thes</w:t>
      </w:r>
      <w:r w:rsidR="000B3DE0">
        <w:t xml:space="preserve">e processes combined </w:t>
      </w:r>
      <w:r>
        <w:t>ensure tha</w:t>
      </w:r>
      <w:r w:rsidR="0065174D">
        <w:t>t</w:t>
      </w:r>
      <w:r>
        <w:t xml:space="preserve"> the Governing Body has the skills necessary to meet its three core functions:</w:t>
      </w:r>
    </w:p>
    <w:p w14:paraId="7270CED2" w14:textId="77777777" w:rsidR="00605D3C" w:rsidRDefault="00AB4019" w:rsidP="00A12904">
      <w:pPr>
        <w:pStyle w:val="ListParagraph"/>
        <w:numPr>
          <w:ilvl w:val="0"/>
          <w:numId w:val="15"/>
        </w:numPr>
        <w:spacing w:after="0"/>
      </w:pPr>
      <w:r>
        <w:t>Setting the strategic direction of the school</w:t>
      </w:r>
    </w:p>
    <w:p w14:paraId="4747A3E5" w14:textId="77777777" w:rsidR="00605D3C" w:rsidRDefault="00AB4019" w:rsidP="00A12904">
      <w:pPr>
        <w:pStyle w:val="ListParagraph"/>
        <w:numPr>
          <w:ilvl w:val="0"/>
          <w:numId w:val="15"/>
        </w:numPr>
        <w:spacing w:after="0"/>
      </w:pPr>
      <w:r>
        <w:t>Holding the Head Teacher to account; acting as a critical friend</w:t>
      </w:r>
    </w:p>
    <w:p w14:paraId="221A0F70" w14:textId="401D836C" w:rsidR="00AB4019" w:rsidRDefault="00AB4019" w:rsidP="00A12904">
      <w:pPr>
        <w:pStyle w:val="ListParagraph"/>
        <w:numPr>
          <w:ilvl w:val="0"/>
          <w:numId w:val="15"/>
        </w:numPr>
        <w:spacing w:after="0"/>
      </w:pPr>
      <w:r>
        <w:t>Ensuring financial health, probity and value for money</w:t>
      </w:r>
    </w:p>
    <w:p w14:paraId="0E8F5EBA" w14:textId="77777777" w:rsidR="007575E2" w:rsidRDefault="007575E2" w:rsidP="00A12904">
      <w:pPr>
        <w:spacing w:after="0"/>
      </w:pPr>
    </w:p>
    <w:p w14:paraId="33E0C917" w14:textId="355EBD42" w:rsidR="0065174D" w:rsidRDefault="00AB4019" w:rsidP="00A12904">
      <w:pPr>
        <w:spacing w:after="0"/>
      </w:pPr>
      <w:r>
        <w:t>The skills audit and development plan ensure that the Governing Body has the skills necessary for effective governance and to make a valuable contribution to the school, and that where any skills gaps are identified they are addressed in a timely manner.</w:t>
      </w:r>
    </w:p>
    <w:p w14:paraId="1BA25EA1" w14:textId="77777777" w:rsidR="003239BD" w:rsidRDefault="003239BD" w:rsidP="00A12904">
      <w:pPr>
        <w:spacing w:after="0"/>
      </w:pPr>
    </w:p>
    <w:p w14:paraId="4D2396E1" w14:textId="3F1505CE" w:rsidR="00AB4019" w:rsidRDefault="00AB4019" w:rsidP="00A12904">
      <w:pPr>
        <w:spacing w:after="0"/>
        <w:rPr>
          <w:b/>
          <w:bCs/>
          <w:u w:val="single"/>
        </w:rPr>
      </w:pPr>
      <w:r>
        <w:rPr>
          <w:b/>
          <w:bCs/>
          <w:u w:val="single"/>
        </w:rPr>
        <w:t>Summary</w:t>
      </w:r>
    </w:p>
    <w:p w14:paraId="7218DBE8" w14:textId="77777777" w:rsidR="004D5459" w:rsidRDefault="004D5459" w:rsidP="00A12904">
      <w:pPr>
        <w:spacing w:after="0"/>
      </w:pPr>
    </w:p>
    <w:p w14:paraId="5D927433" w14:textId="41EE6802" w:rsidR="00AB4019" w:rsidRDefault="00AB4019" w:rsidP="00A12904">
      <w:pPr>
        <w:spacing w:after="0"/>
      </w:pPr>
      <w:r>
        <w:t>The Governing Body, the Head Teacher and all school staff are aligned to our vision: a family of leaners expecting the best. We are continually striving to improve and develop the school, and believe we are on the journey to being an outstanding school in all areas.</w:t>
      </w:r>
    </w:p>
    <w:p w14:paraId="17736B77" w14:textId="77777777" w:rsidR="004D5459" w:rsidRDefault="004D5459" w:rsidP="00A12904">
      <w:pPr>
        <w:spacing w:after="0"/>
        <w:rPr>
          <w:b/>
          <w:bCs/>
          <w:u w:val="single"/>
        </w:rPr>
      </w:pPr>
    </w:p>
    <w:p w14:paraId="6634A9D1" w14:textId="2921F9A8" w:rsidR="00AB4019" w:rsidRDefault="00AB4019" w:rsidP="00A12904">
      <w:pPr>
        <w:spacing w:after="0"/>
        <w:rPr>
          <w:b/>
          <w:bCs/>
          <w:u w:val="single"/>
        </w:rPr>
      </w:pPr>
      <w:r>
        <w:rPr>
          <w:b/>
          <w:bCs/>
          <w:u w:val="single"/>
        </w:rPr>
        <w:t>Future and Continuous Improvement</w:t>
      </w:r>
    </w:p>
    <w:p w14:paraId="643AEB05" w14:textId="77777777" w:rsidR="004D5459" w:rsidRDefault="004D5459" w:rsidP="00A12904">
      <w:pPr>
        <w:spacing w:after="0"/>
      </w:pPr>
    </w:p>
    <w:p w14:paraId="4BFDD364" w14:textId="3EB9428D" w:rsidR="00AB4019" w:rsidRDefault="00AB4019" w:rsidP="00A12904">
      <w:pPr>
        <w:spacing w:after="0"/>
      </w:pPr>
      <w:r>
        <w:t>The Governing Body and Head Teacher are constantly striving to improve and develop our school, for the benefit of our children and the whole school community. Future areas of improvement for the Governing Body include:</w:t>
      </w:r>
    </w:p>
    <w:p w14:paraId="71FFA7A9" w14:textId="02A6BB79" w:rsidR="00AB4019" w:rsidRDefault="00AB4019" w:rsidP="00A12904">
      <w:pPr>
        <w:pStyle w:val="ListParagraph"/>
        <w:numPr>
          <w:ilvl w:val="0"/>
          <w:numId w:val="13"/>
        </w:numPr>
        <w:spacing w:after="0"/>
      </w:pPr>
      <w:r>
        <w:t xml:space="preserve">To embed the structured and consistent approach to monitoring, ensuring we complete the full monitoring cycle each academic </w:t>
      </w:r>
      <w:proofErr w:type="gramStart"/>
      <w:r>
        <w:t>year</w:t>
      </w:r>
      <w:r w:rsidR="003A5CD5">
        <w:t>;</w:t>
      </w:r>
      <w:proofErr w:type="gramEnd"/>
    </w:p>
    <w:p w14:paraId="19A132B6" w14:textId="2C7247FE" w:rsidR="00554D8E" w:rsidRDefault="00FA27D1" w:rsidP="00A12904">
      <w:pPr>
        <w:pStyle w:val="ListParagraph"/>
        <w:numPr>
          <w:ilvl w:val="0"/>
          <w:numId w:val="13"/>
        </w:numPr>
        <w:spacing w:after="0"/>
      </w:pPr>
      <w:r>
        <w:t>To f</w:t>
      </w:r>
      <w:r w:rsidR="00554D8E">
        <w:t xml:space="preserve">urther develop informal governor </w:t>
      </w:r>
      <w:proofErr w:type="gramStart"/>
      <w:r w:rsidR="00554D8E">
        <w:t>monitoring</w:t>
      </w:r>
      <w:r w:rsidR="003A5CD5">
        <w:t>;</w:t>
      </w:r>
      <w:proofErr w:type="gramEnd"/>
    </w:p>
    <w:p w14:paraId="161820AF" w14:textId="38F55E5F" w:rsidR="00907938" w:rsidRDefault="00AB4019" w:rsidP="00A12904">
      <w:pPr>
        <w:pStyle w:val="ListParagraph"/>
        <w:numPr>
          <w:ilvl w:val="0"/>
          <w:numId w:val="13"/>
        </w:numPr>
        <w:spacing w:after="0"/>
      </w:pPr>
      <w:r>
        <w:t xml:space="preserve">To embed our New Governor Induction Policy and checklist to ensure all new Governors have the information they need to be effective as quickly as </w:t>
      </w:r>
      <w:proofErr w:type="gramStart"/>
      <w:r>
        <w:t>possible</w:t>
      </w:r>
      <w:r w:rsidR="003A5CD5">
        <w:t>;</w:t>
      </w:r>
      <w:proofErr w:type="gramEnd"/>
    </w:p>
    <w:p w14:paraId="1C67C581" w14:textId="383242F2" w:rsidR="003A5CD5" w:rsidRDefault="003A5CD5" w:rsidP="00A12904">
      <w:pPr>
        <w:pStyle w:val="ListParagraph"/>
        <w:numPr>
          <w:ilvl w:val="0"/>
          <w:numId w:val="13"/>
        </w:numPr>
        <w:spacing w:after="0"/>
      </w:pPr>
      <w:r>
        <w:t xml:space="preserve">Allow the training link governor to embed in their role and then deliver further targeted improvements to enhance the skills of the Governing </w:t>
      </w:r>
      <w:proofErr w:type="gramStart"/>
      <w:r>
        <w:t>Body;</w:t>
      </w:r>
      <w:proofErr w:type="gramEnd"/>
    </w:p>
    <w:p w14:paraId="44324AE0" w14:textId="7B3F0EFC" w:rsidR="1FFE64B3" w:rsidRDefault="1FFE64B3" w:rsidP="00A12904">
      <w:pPr>
        <w:pStyle w:val="ListParagraph"/>
        <w:numPr>
          <w:ilvl w:val="0"/>
          <w:numId w:val="13"/>
        </w:numPr>
        <w:spacing w:after="0"/>
      </w:pPr>
      <w:r>
        <w:t>Succession planning for Chair and Vice Chair</w:t>
      </w:r>
      <w:r w:rsidR="003A5CD5">
        <w:t>.</w:t>
      </w:r>
    </w:p>
    <w:sectPr w:rsidR="1FFE64B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8A4C1" w14:textId="77777777" w:rsidR="00C7741C" w:rsidRDefault="00C7741C" w:rsidP="00F26E86">
      <w:pPr>
        <w:spacing w:after="0" w:line="240" w:lineRule="auto"/>
      </w:pPr>
      <w:r>
        <w:separator/>
      </w:r>
    </w:p>
  </w:endnote>
  <w:endnote w:type="continuationSeparator" w:id="0">
    <w:p w14:paraId="191701DD" w14:textId="77777777" w:rsidR="00C7741C" w:rsidRDefault="00C7741C" w:rsidP="00F26E86">
      <w:pPr>
        <w:spacing w:after="0" w:line="240" w:lineRule="auto"/>
      </w:pPr>
      <w:r>
        <w:continuationSeparator/>
      </w:r>
    </w:p>
  </w:endnote>
  <w:endnote w:type="continuationNotice" w:id="1">
    <w:p w14:paraId="37878AA8" w14:textId="77777777" w:rsidR="00C7741C" w:rsidRDefault="00C77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80102" w14:textId="77777777" w:rsidR="00C7741C" w:rsidRDefault="00C7741C" w:rsidP="00F26E86">
      <w:pPr>
        <w:spacing w:after="0" w:line="240" w:lineRule="auto"/>
      </w:pPr>
      <w:r>
        <w:separator/>
      </w:r>
    </w:p>
  </w:footnote>
  <w:footnote w:type="continuationSeparator" w:id="0">
    <w:p w14:paraId="020D530F" w14:textId="77777777" w:rsidR="00C7741C" w:rsidRDefault="00C7741C" w:rsidP="00F26E86">
      <w:pPr>
        <w:spacing w:after="0" w:line="240" w:lineRule="auto"/>
      </w:pPr>
      <w:r>
        <w:continuationSeparator/>
      </w:r>
    </w:p>
  </w:footnote>
  <w:footnote w:type="continuationNotice" w:id="1">
    <w:p w14:paraId="04228EFD" w14:textId="77777777" w:rsidR="00C7741C" w:rsidRDefault="00C774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1B3BF" w14:textId="77777777" w:rsidR="00F26E86" w:rsidRDefault="00F26E86" w:rsidP="00F26E86">
    <w:pPr>
      <w:pStyle w:val="NormalWeb"/>
      <w:spacing w:before="0" w:beforeAutospacing="0" w:after="0" w:afterAutospacing="0"/>
      <w:jc w:val="center"/>
      <w:rPr>
        <w:rFonts w:ascii="Calibri" w:eastAsia="+mn-ea" w:hAnsi="Calibri" w:cs="Arial"/>
        <w:b/>
        <w:bCs/>
        <w:color w:val="2F5496" w:themeColor="accent5" w:themeShade="BF"/>
        <w:kern w:val="24"/>
        <w:sz w:val="32"/>
        <w:szCs w:val="40"/>
      </w:rPr>
    </w:pPr>
    <w:r w:rsidRPr="00576CA6">
      <w:rPr>
        <w:noProof/>
        <w:color w:val="2F5496" w:themeColor="accent5" w:themeShade="BF"/>
        <w:sz w:val="20"/>
      </w:rPr>
      <w:drawing>
        <wp:anchor distT="0" distB="0" distL="114300" distR="114300" simplePos="0" relativeHeight="251658242" behindDoc="0" locked="0" layoutInCell="1" allowOverlap="1" wp14:anchorId="67BAA4FE" wp14:editId="7E5898DC">
          <wp:simplePos x="0" y="0"/>
          <wp:positionH relativeFrom="column">
            <wp:posOffset>5299147</wp:posOffset>
          </wp:positionH>
          <wp:positionV relativeFrom="paragraph">
            <wp:posOffset>-33655</wp:posOffset>
          </wp:positionV>
          <wp:extent cx="590550" cy="699770"/>
          <wp:effectExtent l="0" t="0" r="0" b="5080"/>
          <wp:wrapNone/>
          <wp:docPr id="5" name="Picture 5"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598" t="12330" r="3922" b="20113"/>
                  <a:stretch/>
                </pic:blipFill>
                <pic:spPr bwMode="auto">
                  <a:xfrm>
                    <a:off x="0" y="0"/>
                    <a:ext cx="590550" cy="699770"/>
                  </a:xfrm>
                  <a:prstGeom prst="rect">
                    <a:avLst/>
                  </a:prstGeom>
                  <a:noFill/>
                </pic:spPr>
              </pic:pic>
            </a:graphicData>
          </a:graphic>
        </wp:anchor>
      </w:drawing>
    </w:r>
    <w:r w:rsidRPr="00576CA6">
      <w:rPr>
        <w:noProof/>
        <w:color w:val="2F5496" w:themeColor="accent5" w:themeShade="BF"/>
        <w:sz w:val="20"/>
      </w:rPr>
      <w:drawing>
        <wp:anchor distT="0" distB="0" distL="114300" distR="114300" simplePos="0" relativeHeight="251658240" behindDoc="0" locked="0" layoutInCell="1" allowOverlap="1" wp14:anchorId="27ED220A" wp14:editId="4F3FA5AF">
          <wp:simplePos x="0" y="0"/>
          <wp:positionH relativeFrom="column">
            <wp:posOffset>-179850</wp:posOffset>
          </wp:positionH>
          <wp:positionV relativeFrom="paragraph">
            <wp:posOffset>-23969</wp:posOffset>
          </wp:positionV>
          <wp:extent cx="876300" cy="824230"/>
          <wp:effectExtent l="0" t="0" r="0" b="0"/>
          <wp:wrapNone/>
          <wp:docPr id="6" name="Picture 6"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79907"/>
                  <a:stretch/>
                </pic:blipFill>
                <pic:spPr bwMode="auto">
                  <a:xfrm>
                    <a:off x="0" y="0"/>
                    <a:ext cx="876300" cy="824230"/>
                  </a:xfrm>
                  <a:prstGeom prst="rect">
                    <a:avLst/>
                  </a:prstGeom>
                  <a:noFill/>
                </pic:spPr>
              </pic:pic>
            </a:graphicData>
          </a:graphic>
        </wp:anchor>
      </w:drawing>
    </w:r>
    <w:r w:rsidRPr="00576CA6">
      <w:rPr>
        <w:noProof/>
        <w:color w:val="2F5496" w:themeColor="accent5" w:themeShade="BF"/>
        <w:sz w:val="20"/>
      </w:rPr>
      <mc:AlternateContent>
        <mc:Choice Requires="wps">
          <w:drawing>
            <wp:anchor distT="0" distB="0" distL="114300" distR="114300" simplePos="0" relativeHeight="251658241" behindDoc="0" locked="0" layoutInCell="1" allowOverlap="1" wp14:anchorId="57C4126C" wp14:editId="1803B000">
              <wp:simplePos x="0" y="0"/>
              <wp:positionH relativeFrom="margin">
                <wp:posOffset>-185195</wp:posOffset>
              </wp:positionH>
              <wp:positionV relativeFrom="paragraph">
                <wp:posOffset>-57873</wp:posOffset>
              </wp:positionV>
              <wp:extent cx="6105525" cy="705814"/>
              <wp:effectExtent l="19050" t="19050" r="2857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705814"/>
                      </a:xfrm>
                      <a:prstGeom prst="rect">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33CC4B" id="Rectangle 1" o:spid="_x0000_s1026" style="position:absolute;margin-left:-14.6pt;margin-top:-4.55pt;width:480.75pt;height:55.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" filled="f" strokecolor="#1f4d78 [1604]" strokeweight="2.5pt">
              <v:path arrowok="t"/>
              <w10:wrap anchorx="margin"/>
            </v:rect>
          </w:pict>
        </mc:Fallback>
      </mc:AlternateContent>
    </w:r>
    <w:r w:rsidRPr="00576CA6">
      <w:rPr>
        <w:rFonts w:ascii="Calibri" w:eastAsia="+mn-ea" w:hAnsi="Calibri" w:cs="Arial"/>
        <w:b/>
        <w:bCs/>
        <w:color w:val="2F5496" w:themeColor="accent5" w:themeShade="BF"/>
        <w:kern w:val="24"/>
        <w:sz w:val="32"/>
        <w:szCs w:val="40"/>
      </w:rPr>
      <w:t>Radford Semele C of E Primary School</w:t>
    </w:r>
  </w:p>
  <w:p w14:paraId="13E9A16C" w14:textId="77777777" w:rsidR="00F26E86" w:rsidRPr="00576CA6" w:rsidRDefault="00F26E86" w:rsidP="00F26E86">
    <w:pPr>
      <w:pStyle w:val="NormalWeb"/>
      <w:spacing w:before="0" w:beforeAutospacing="0" w:after="0" w:afterAutospacing="0"/>
      <w:jc w:val="center"/>
      <w:rPr>
        <w:rFonts w:ascii="Kristen ITC" w:eastAsia="+mn-ea" w:hAnsi="Kristen ITC" w:cs="Arial"/>
        <w:b/>
        <w:bCs/>
        <w:color w:val="C60409"/>
        <w:kern w:val="24"/>
        <w:sz w:val="22"/>
        <w:szCs w:val="28"/>
      </w:rPr>
    </w:pPr>
    <w:r w:rsidRPr="00576CA6">
      <w:rPr>
        <w:rFonts w:ascii="Kristen ITC" w:eastAsia="+mn-ea" w:hAnsi="Kristen ITC" w:cs="Arial"/>
        <w:b/>
        <w:bCs/>
        <w:color w:val="C60409"/>
        <w:kern w:val="24"/>
        <w:sz w:val="22"/>
        <w:szCs w:val="28"/>
      </w:rPr>
      <w:t>A family of learners expecting the best</w:t>
    </w:r>
  </w:p>
  <w:p w14:paraId="04E2699B" w14:textId="77777777" w:rsidR="00F26E86" w:rsidRPr="002F5651" w:rsidRDefault="00F26E86" w:rsidP="002F5651">
    <w:pPr>
      <w:jc w:val="center"/>
      <w:rPr>
        <w:b/>
        <w:i/>
        <w:color w:val="2F5496" w:themeColor="accent5" w:themeShade="BF"/>
        <w:sz w:val="20"/>
      </w:rPr>
    </w:pPr>
    <w:r w:rsidRPr="00576CA6">
      <w:rPr>
        <w:b/>
        <w:i/>
        <w:color w:val="2F5496" w:themeColor="accent5" w:themeShade="BF"/>
        <w:sz w:val="20"/>
      </w:rPr>
      <w:t>“I have come that they may have life and have it to the full.” John, 10:10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4434"/>
    <w:multiLevelType w:val="hybridMultilevel"/>
    <w:tmpl w:val="62B2D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974DE"/>
    <w:multiLevelType w:val="hybridMultilevel"/>
    <w:tmpl w:val="05F84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86506"/>
    <w:multiLevelType w:val="hybridMultilevel"/>
    <w:tmpl w:val="DC6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A794F"/>
    <w:multiLevelType w:val="multilevel"/>
    <w:tmpl w:val="24F0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A9105F"/>
    <w:multiLevelType w:val="hybridMultilevel"/>
    <w:tmpl w:val="2938A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18558A"/>
    <w:multiLevelType w:val="multilevel"/>
    <w:tmpl w:val="B39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202C2"/>
    <w:multiLevelType w:val="multilevel"/>
    <w:tmpl w:val="E4EC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7C1614"/>
    <w:multiLevelType w:val="multilevel"/>
    <w:tmpl w:val="7872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A5F08"/>
    <w:multiLevelType w:val="hybridMultilevel"/>
    <w:tmpl w:val="E3328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EC738C"/>
    <w:multiLevelType w:val="multilevel"/>
    <w:tmpl w:val="439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E356E"/>
    <w:multiLevelType w:val="multilevel"/>
    <w:tmpl w:val="F426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7E037D"/>
    <w:multiLevelType w:val="hybridMultilevel"/>
    <w:tmpl w:val="6986B280"/>
    <w:lvl w:ilvl="0" w:tplc="97006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185CFB"/>
    <w:multiLevelType w:val="multilevel"/>
    <w:tmpl w:val="9B5E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DD5A1E"/>
    <w:multiLevelType w:val="multilevel"/>
    <w:tmpl w:val="E54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CF7F2F"/>
    <w:multiLevelType w:val="hybridMultilevel"/>
    <w:tmpl w:val="182E0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5304585">
    <w:abstractNumId w:val="4"/>
  </w:num>
  <w:num w:numId="2" w16cid:durableId="1682778739">
    <w:abstractNumId w:val="1"/>
  </w:num>
  <w:num w:numId="3" w16cid:durableId="812060277">
    <w:abstractNumId w:val="9"/>
  </w:num>
  <w:num w:numId="4" w16cid:durableId="787090569">
    <w:abstractNumId w:val="3"/>
  </w:num>
  <w:num w:numId="5" w16cid:durableId="1552225358">
    <w:abstractNumId w:val="13"/>
  </w:num>
  <w:num w:numId="6" w16cid:durableId="1823695768">
    <w:abstractNumId w:val="10"/>
  </w:num>
  <w:num w:numId="7" w16cid:durableId="1962221429">
    <w:abstractNumId w:val="6"/>
  </w:num>
  <w:num w:numId="8" w16cid:durableId="745952185">
    <w:abstractNumId w:val="5"/>
  </w:num>
  <w:num w:numId="9" w16cid:durableId="1135755012">
    <w:abstractNumId w:val="12"/>
  </w:num>
  <w:num w:numId="10" w16cid:durableId="1987274410">
    <w:abstractNumId w:val="7"/>
  </w:num>
  <w:num w:numId="11" w16cid:durableId="632637953">
    <w:abstractNumId w:val="2"/>
  </w:num>
  <w:num w:numId="12" w16cid:durableId="1036588900">
    <w:abstractNumId w:val="0"/>
  </w:num>
  <w:num w:numId="13" w16cid:durableId="240334279">
    <w:abstractNumId w:val="14"/>
  </w:num>
  <w:num w:numId="14" w16cid:durableId="95911205">
    <w:abstractNumId w:val="8"/>
  </w:num>
  <w:num w:numId="15" w16cid:durableId="1210190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54"/>
    <w:rsid w:val="00027BD0"/>
    <w:rsid w:val="0003797E"/>
    <w:rsid w:val="00063937"/>
    <w:rsid w:val="000B3DE0"/>
    <w:rsid w:val="000C6132"/>
    <w:rsid w:val="000D1531"/>
    <w:rsid w:val="000E0E51"/>
    <w:rsid w:val="001126CD"/>
    <w:rsid w:val="00133F5C"/>
    <w:rsid w:val="0016465A"/>
    <w:rsid w:val="001735A8"/>
    <w:rsid w:val="001761F0"/>
    <w:rsid w:val="001B1B0F"/>
    <w:rsid w:val="001D51C4"/>
    <w:rsid w:val="00200CC7"/>
    <w:rsid w:val="0022520C"/>
    <w:rsid w:val="002256FA"/>
    <w:rsid w:val="00255940"/>
    <w:rsid w:val="002A0CD3"/>
    <w:rsid w:val="002F5651"/>
    <w:rsid w:val="003239BD"/>
    <w:rsid w:val="00323E8D"/>
    <w:rsid w:val="0036789A"/>
    <w:rsid w:val="0037750A"/>
    <w:rsid w:val="003A5CD5"/>
    <w:rsid w:val="003F0839"/>
    <w:rsid w:val="00426DC3"/>
    <w:rsid w:val="004D1F5D"/>
    <w:rsid w:val="004D5459"/>
    <w:rsid w:val="004E68D7"/>
    <w:rsid w:val="00500BEE"/>
    <w:rsid w:val="0050313A"/>
    <w:rsid w:val="00547861"/>
    <w:rsid w:val="00554D8E"/>
    <w:rsid w:val="00605D3C"/>
    <w:rsid w:val="00616B37"/>
    <w:rsid w:val="0065174D"/>
    <w:rsid w:val="00653857"/>
    <w:rsid w:val="00671A27"/>
    <w:rsid w:val="00676104"/>
    <w:rsid w:val="00690A7B"/>
    <w:rsid w:val="006A06BE"/>
    <w:rsid w:val="006C10C8"/>
    <w:rsid w:val="007575E2"/>
    <w:rsid w:val="00766542"/>
    <w:rsid w:val="007A38CA"/>
    <w:rsid w:val="00817BB4"/>
    <w:rsid w:val="008A2BA2"/>
    <w:rsid w:val="008A49B4"/>
    <w:rsid w:val="008C01FD"/>
    <w:rsid w:val="00905C49"/>
    <w:rsid w:val="00907938"/>
    <w:rsid w:val="0096496C"/>
    <w:rsid w:val="00996756"/>
    <w:rsid w:val="00A12904"/>
    <w:rsid w:val="00A6196A"/>
    <w:rsid w:val="00AB4019"/>
    <w:rsid w:val="00B12454"/>
    <w:rsid w:val="00B77C78"/>
    <w:rsid w:val="00BA5BA9"/>
    <w:rsid w:val="00C47116"/>
    <w:rsid w:val="00C7741C"/>
    <w:rsid w:val="00CA236F"/>
    <w:rsid w:val="00D02550"/>
    <w:rsid w:val="00D063A2"/>
    <w:rsid w:val="00D10BDE"/>
    <w:rsid w:val="00D170BA"/>
    <w:rsid w:val="00D2FF86"/>
    <w:rsid w:val="00D56FDE"/>
    <w:rsid w:val="00D7162E"/>
    <w:rsid w:val="00DB04BA"/>
    <w:rsid w:val="00DB5CB9"/>
    <w:rsid w:val="00E07FCE"/>
    <w:rsid w:val="00E45B4F"/>
    <w:rsid w:val="00E557BE"/>
    <w:rsid w:val="00ED0542"/>
    <w:rsid w:val="00EE3D22"/>
    <w:rsid w:val="00F26E86"/>
    <w:rsid w:val="00F442D5"/>
    <w:rsid w:val="00F57044"/>
    <w:rsid w:val="00FA27D1"/>
    <w:rsid w:val="00FC1463"/>
    <w:rsid w:val="00FE0F62"/>
    <w:rsid w:val="00FE30C4"/>
    <w:rsid w:val="0114C433"/>
    <w:rsid w:val="0245E8DF"/>
    <w:rsid w:val="0347672B"/>
    <w:rsid w:val="05CF0CF9"/>
    <w:rsid w:val="0AA27E1C"/>
    <w:rsid w:val="162ABF2A"/>
    <w:rsid w:val="1924BF0B"/>
    <w:rsid w:val="1CAF94CD"/>
    <w:rsid w:val="1FFE64B3"/>
    <w:rsid w:val="23BF6444"/>
    <w:rsid w:val="36F40073"/>
    <w:rsid w:val="38766092"/>
    <w:rsid w:val="3BC77196"/>
    <w:rsid w:val="43F42464"/>
    <w:rsid w:val="461E4ED0"/>
    <w:rsid w:val="4C4FE70A"/>
    <w:rsid w:val="4CF79219"/>
    <w:rsid w:val="4E540057"/>
    <w:rsid w:val="51C982E9"/>
    <w:rsid w:val="5B3A70E5"/>
    <w:rsid w:val="5BD33BBA"/>
    <w:rsid w:val="64C82ACE"/>
    <w:rsid w:val="699B9BF1"/>
    <w:rsid w:val="6B5094AF"/>
    <w:rsid w:val="6C81F883"/>
    <w:rsid w:val="73570849"/>
    <w:rsid w:val="7473E20B"/>
    <w:rsid w:val="7A605180"/>
    <w:rsid w:val="7F201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B797"/>
  <w15:chartTrackingRefBased/>
  <w15:docId w15:val="{234EB7A7-EFEB-41E7-814A-AE5123C1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7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4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26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E86"/>
  </w:style>
  <w:style w:type="paragraph" w:styleId="Footer">
    <w:name w:val="footer"/>
    <w:basedOn w:val="Normal"/>
    <w:link w:val="FooterChar"/>
    <w:uiPriority w:val="99"/>
    <w:unhideWhenUsed/>
    <w:rsid w:val="00F26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E86"/>
  </w:style>
  <w:style w:type="paragraph" w:styleId="ListParagraph">
    <w:name w:val="List Paragraph"/>
    <w:basedOn w:val="Normal"/>
    <w:uiPriority w:val="34"/>
    <w:qFormat/>
    <w:rsid w:val="00766542"/>
    <w:pPr>
      <w:ind w:left="720"/>
      <w:contextualSpacing/>
    </w:pPr>
  </w:style>
  <w:style w:type="character" w:customStyle="1" w:styleId="Heading1Char">
    <w:name w:val="Heading 1 Char"/>
    <w:basedOn w:val="DefaultParagraphFont"/>
    <w:link w:val="Heading1"/>
    <w:uiPriority w:val="9"/>
    <w:rsid w:val="0090793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907938"/>
    <w:rPr>
      <w:color w:val="0000FF"/>
      <w:u w:val="single"/>
    </w:rPr>
  </w:style>
  <w:style w:type="character" w:styleId="Strong">
    <w:name w:val="Strong"/>
    <w:basedOn w:val="DefaultParagraphFont"/>
    <w:uiPriority w:val="22"/>
    <w:qFormat/>
    <w:rsid w:val="00907938"/>
    <w:rPr>
      <w:b/>
      <w:bCs/>
    </w:rPr>
  </w:style>
  <w:style w:type="character" w:customStyle="1" w:styleId="normaltextrun">
    <w:name w:val="normaltextrun"/>
    <w:basedOn w:val="DefaultParagraphFont"/>
    <w:rsid w:val="00690A7B"/>
  </w:style>
  <w:style w:type="character" w:customStyle="1" w:styleId="eop">
    <w:name w:val="eop"/>
    <w:basedOn w:val="DefaultParagraphFont"/>
    <w:rsid w:val="0069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733324">
      <w:bodyDiv w:val="1"/>
      <w:marLeft w:val="0"/>
      <w:marRight w:val="0"/>
      <w:marTop w:val="0"/>
      <w:marBottom w:val="0"/>
      <w:divBdr>
        <w:top w:val="none" w:sz="0" w:space="0" w:color="auto"/>
        <w:left w:val="none" w:sz="0" w:space="0" w:color="auto"/>
        <w:bottom w:val="none" w:sz="0" w:space="0" w:color="auto"/>
        <w:right w:val="none" w:sz="0" w:space="0" w:color="auto"/>
      </w:divBdr>
      <w:divsChild>
        <w:div w:id="1017192095">
          <w:marLeft w:val="0"/>
          <w:marRight w:val="0"/>
          <w:marTop w:val="0"/>
          <w:marBottom w:val="0"/>
          <w:divBdr>
            <w:top w:val="none" w:sz="0" w:space="0" w:color="auto"/>
            <w:left w:val="none" w:sz="0" w:space="0" w:color="auto"/>
            <w:bottom w:val="none" w:sz="0" w:space="0" w:color="auto"/>
            <w:right w:val="none" w:sz="0" w:space="0" w:color="auto"/>
          </w:divBdr>
          <w:divsChild>
            <w:div w:id="1742750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0466336">
      <w:bodyDiv w:val="1"/>
      <w:marLeft w:val="0"/>
      <w:marRight w:val="0"/>
      <w:marTop w:val="0"/>
      <w:marBottom w:val="0"/>
      <w:divBdr>
        <w:top w:val="none" w:sz="0" w:space="0" w:color="auto"/>
        <w:left w:val="none" w:sz="0" w:space="0" w:color="auto"/>
        <w:bottom w:val="none" w:sz="0" w:space="0" w:color="auto"/>
        <w:right w:val="none" w:sz="0" w:space="0" w:color="auto"/>
      </w:divBdr>
      <w:divsChild>
        <w:div w:id="1580480195">
          <w:marLeft w:val="0"/>
          <w:marRight w:val="0"/>
          <w:marTop w:val="0"/>
          <w:marBottom w:val="0"/>
          <w:divBdr>
            <w:top w:val="none" w:sz="0" w:space="0" w:color="auto"/>
            <w:left w:val="none" w:sz="0" w:space="0" w:color="auto"/>
            <w:bottom w:val="none" w:sz="0" w:space="0" w:color="auto"/>
            <w:right w:val="none" w:sz="0" w:space="0" w:color="auto"/>
          </w:divBdr>
          <w:divsChild>
            <w:div w:id="7272628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bb5da3e-057e-4b0c-b71e-de73341a0f6d">
      <UserInfo>
        <DisplayName>K Benson RSP</DisplayName>
        <AccountId>13</AccountId>
        <AccountType/>
      </UserInfo>
    </SharedWithUsers>
    <TaxCatchAll xmlns="4bb5da3e-057e-4b0c-b71e-de73341a0f6d" xsi:nil="true"/>
    <lcf76f155ced4ddcb4097134ff3c332f xmlns="45443ebb-c372-4ed9-a5cb-65773f65b0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34BA4D4D53A468C0DB3A61A70005F" ma:contentTypeVersion="16" ma:contentTypeDescription="Create a new document." ma:contentTypeScope="" ma:versionID="809c80d0427abe834954868563963823">
  <xsd:schema xmlns:xsd="http://www.w3.org/2001/XMLSchema" xmlns:xs="http://www.w3.org/2001/XMLSchema" xmlns:p="http://schemas.microsoft.com/office/2006/metadata/properties" xmlns:ns2="45443ebb-c372-4ed9-a5cb-65773f65b051" xmlns:ns3="4bb5da3e-057e-4b0c-b71e-de73341a0f6d" targetNamespace="http://schemas.microsoft.com/office/2006/metadata/properties" ma:root="true" ma:fieldsID="18a2089c6120b975272548b0284a1cc2" ns2:_="" ns3:_="">
    <xsd:import namespace="45443ebb-c372-4ed9-a5cb-65773f65b051"/>
    <xsd:import namespace="4bb5da3e-057e-4b0c-b71e-de73341a0f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43ebb-c372-4ed9-a5cb-65773f65b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5da3e-057e-4b0c-b71e-de73341a0f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2e0531-065a-40c5-b77c-137b1b5bb357}" ma:internalName="TaxCatchAll" ma:showField="CatchAllData" ma:web="4bb5da3e-057e-4b0c-b71e-de73341a0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24DDA-48B9-42D9-B08B-D02FD05F00A7}">
  <ds:schemaRefs>
    <ds:schemaRef ds:uri="http://schemas.microsoft.com/sharepoint/v3/contenttype/forms"/>
  </ds:schemaRefs>
</ds:datastoreItem>
</file>

<file path=customXml/itemProps2.xml><?xml version="1.0" encoding="utf-8"?>
<ds:datastoreItem xmlns:ds="http://schemas.openxmlformats.org/officeDocument/2006/customXml" ds:itemID="{EF0962E3-B394-41DA-BC84-A90DE2EF3C50}">
  <ds:schemaRefs>
    <ds:schemaRef ds:uri="http://schemas.microsoft.com/office/2006/metadata/properties"/>
    <ds:schemaRef ds:uri="http://schemas.microsoft.com/office/infopath/2007/PartnerControls"/>
    <ds:schemaRef ds:uri="4bb5da3e-057e-4b0c-b71e-de73341a0f6d"/>
    <ds:schemaRef ds:uri="45443ebb-c372-4ed9-a5cb-65773f65b051"/>
  </ds:schemaRefs>
</ds:datastoreItem>
</file>

<file path=customXml/itemProps3.xml><?xml version="1.0" encoding="utf-8"?>
<ds:datastoreItem xmlns:ds="http://schemas.openxmlformats.org/officeDocument/2006/customXml" ds:itemID="{19475365-1DA3-4FEF-8932-EB51C13E8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43ebb-c372-4ed9-a5cb-65773f65b051"/>
    <ds:schemaRef ds:uri="4bb5da3e-057e-4b0c-b71e-de73341a0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1354</Words>
  <Characters>7720</Characters>
  <Application>Microsoft Office Word</Application>
  <DocSecurity>0</DocSecurity>
  <Lines>64</Lines>
  <Paragraphs>18</Paragraphs>
  <ScaleCrop>false</ScaleCrop>
  <Company>Warwickshire County Council</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Benson RSP</dc:creator>
  <cp:keywords/>
  <dc:description/>
  <cp:lastModifiedBy>Harrison Jenkins</cp:lastModifiedBy>
  <cp:revision>7</cp:revision>
  <dcterms:created xsi:type="dcterms:W3CDTF">2024-05-25T15:44:00Z</dcterms:created>
  <dcterms:modified xsi:type="dcterms:W3CDTF">2024-06-04T14:03:00Z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0x010100A7B34BA4D4D53A468C0DB3A61A70005F</vt:lpwstr>
  </property>
  <property fmtid="{D5CDD505-2E9C-101B-9397-08002B2CF9AE}" pid="3" name="MediaServiceImageTags">
    <vt:lpwstr/>
  </property>
</Properties>
</file>